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B40A88">
        <w:rPr>
          <w:rFonts w:ascii="Arial" w:hAnsi="Arial" w:cs="Arial"/>
          <w:sz w:val="32"/>
          <w:szCs w:val="32"/>
        </w:rPr>
        <w:t>Ocak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B40A88">
        <w:rPr>
          <w:rFonts w:ascii="Arial" w:hAnsi="Arial" w:cs="Arial"/>
          <w:snapToGrid w:val="0"/>
          <w:color w:val="0000FF"/>
          <w:sz w:val="52"/>
          <w:szCs w:val="52"/>
        </w:rPr>
        <w:t>Ocak 2020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40A88">
        <w:rPr>
          <w:rFonts w:ascii="Arial" w:hAnsi="Arial" w:cs="Arial"/>
          <w:sz w:val="32"/>
          <w:szCs w:val="32"/>
        </w:rPr>
        <w:t>Ocak 2020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B26ECB" w:rsidRDefault="00B26ECB" w:rsidP="00DF0D78">
      <w:pPr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C1312">
        <w:rPr>
          <w:rFonts w:ascii="Arial" w:hAnsi="Arial" w:cs="Arial"/>
          <w:b/>
          <w:snapToGrid w:val="0"/>
          <w:szCs w:val="20"/>
        </w:rPr>
        <w:t>Ocak</w:t>
      </w:r>
      <w:r w:rsidR="00B40A88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697809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69398C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201</w:t>
            </w:r>
            <w:r w:rsidR="00B40A88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2020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('20</w:t>
            </w:r>
            <w:r w:rsidR="00E35C82">
              <w:rPr>
                <w:rFonts w:ascii="Arial" w:hAnsi="Arial" w:cs="Arial"/>
                <w:b/>
                <w:bCs/>
                <w:color w:val="000000"/>
              </w:rPr>
              <w:t>/'1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Pay(20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40A88" w:rsidRPr="0033419B" w:rsidTr="006210D6">
        <w:trPr>
          <w:trHeight w:val="285"/>
        </w:trPr>
        <w:tc>
          <w:tcPr>
            <w:tcW w:w="3639" w:type="dxa"/>
            <w:shd w:val="clear" w:color="auto" w:fill="FFFF00"/>
            <w:noWrap/>
            <w:vAlign w:val="center"/>
          </w:tcPr>
          <w:p w:rsidR="00B40A88" w:rsidRPr="00E35C82" w:rsidRDefault="00B40A88" w:rsidP="00B40A88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FFFF00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2.327.582</w:t>
            </w:r>
          </w:p>
        </w:tc>
        <w:tc>
          <w:tcPr>
            <w:tcW w:w="1434" w:type="dxa"/>
            <w:shd w:val="clear" w:color="auto" w:fill="FFFF00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2.402.323</w:t>
            </w:r>
          </w:p>
        </w:tc>
        <w:tc>
          <w:tcPr>
            <w:tcW w:w="1338" w:type="dxa"/>
            <w:shd w:val="clear" w:color="auto" w:fill="FFFF00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FFFF00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B40A88" w:rsidRPr="0033419B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0A88" w:rsidRDefault="00B40A88" w:rsidP="00B40A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1.536.646</w:t>
            </w:r>
          </w:p>
        </w:tc>
        <w:tc>
          <w:tcPr>
            <w:tcW w:w="1434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1.700.258</w:t>
            </w:r>
          </w:p>
        </w:tc>
        <w:tc>
          <w:tcPr>
            <w:tcW w:w="1338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06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11,5</w:t>
            </w:r>
          </w:p>
        </w:tc>
      </w:tr>
      <w:tr w:rsidR="00B40A88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40A88" w:rsidRDefault="00B40A88" w:rsidP="00B40A88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1.414.001</w:t>
            </w:r>
          </w:p>
        </w:tc>
        <w:tc>
          <w:tcPr>
            <w:tcW w:w="1434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1.495.475</w:t>
            </w:r>
          </w:p>
        </w:tc>
        <w:tc>
          <w:tcPr>
            <w:tcW w:w="1338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B40A88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40A88" w:rsidRDefault="00B40A88" w:rsidP="00B40A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1.195.661</w:t>
            </w:r>
          </w:p>
        </w:tc>
        <w:tc>
          <w:tcPr>
            <w:tcW w:w="1434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1.148.221</w:t>
            </w:r>
          </w:p>
        </w:tc>
        <w:tc>
          <w:tcPr>
            <w:tcW w:w="1338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B40A88" w:rsidRPr="002B7123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0A88" w:rsidRDefault="00B40A88" w:rsidP="00B40A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 ve Hizmet</w:t>
            </w:r>
          </w:p>
        </w:tc>
        <w:tc>
          <w:tcPr>
            <w:tcW w:w="1463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797.012</w:t>
            </w:r>
          </w:p>
        </w:tc>
        <w:tc>
          <w:tcPr>
            <w:tcW w:w="1434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824.784</w:t>
            </w:r>
          </w:p>
        </w:tc>
        <w:tc>
          <w:tcPr>
            <w:tcW w:w="1338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 w:rsidRPr="00B40A88">
              <w:rPr>
                <w:rFonts w:ascii="Arial" w:hAnsi="Arial" w:cs="Arial"/>
              </w:rPr>
              <w:t>3,5</w:t>
            </w:r>
          </w:p>
        </w:tc>
        <w:tc>
          <w:tcPr>
            <w:tcW w:w="1106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40A88" w:rsidRPr="002B7123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40A88" w:rsidRDefault="00B40A88" w:rsidP="00B40A88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  <w:b/>
              </w:rPr>
            </w:pPr>
            <w:r w:rsidRPr="00B40A88">
              <w:rPr>
                <w:rFonts w:ascii="Arial" w:hAnsi="Arial" w:cs="Arial"/>
                <w:b/>
              </w:rPr>
              <w:t>13.916.233</w:t>
            </w:r>
          </w:p>
        </w:tc>
        <w:tc>
          <w:tcPr>
            <w:tcW w:w="1434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  <w:b/>
              </w:rPr>
            </w:pPr>
            <w:r w:rsidRPr="00B40A88">
              <w:rPr>
                <w:rFonts w:ascii="Arial" w:hAnsi="Arial" w:cs="Arial"/>
                <w:b/>
              </w:rPr>
              <w:t>14.764.795</w:t>
            </w:r>
          </w:p>
        </w:tc>
        <w:tc>
          <w:tcPr>
            <w:tcW w:w="1338" w:type="dxa"/>
            <w:shd w:val="clear" w:color="auto" w:fill="auto"/>
            <w:noWrap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B40A88" w:rsidRPr="00B40A88" w:rsidRDefault="00B40A88" w:rsidP="00B40A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gramStart"/>
      <w:r w:rsidRPr="008D1778">
        <w:rPr>
          <w:b/>
          <w:sz w:val="18"/>
          <w:szCs w:val="18"/>
        </w:rPr>
        <w:t>Kaynak:TİM</w:t>
      </w:r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ED1483" w:rsidRDefault="00DF0D78" w:rsidP="00DF0D7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</w:pPr>
      <w:r w:rsidRPr="00ED1483">
        <w:t xml:space="preserve">Türkiye </w:t>
      </w:r>
      <w:r w:rsidR="00D8599C" w:rsidRPr="00ED1483">
        <w:t>İhracatı</w:t>
      </w:r>
      <w:r w:rsidR="006E0F9C" w:rsidRPr="00ED1483">
        <w:t xml:space="preserve"> </w:t>
      </w:r>
      <w:r w:rsidR="00697809" w:rsidRPr="00ED1483">
        <w:t>Ocak</w:t>
      </w:r>
      <w:r w:rsidR="00B40A88">
        <w:t xml:space="preserve"> 2020</w:t>
      </w:r>
      <w:r w:rsidR="00D56530" w:rsidRPr="00ED1483">
        <w:t>’</w:t>
      </w:r>
      <w:r w:rsidR="006E0F9C" w:rsidRPr="00ED1483">
        <w:t>d</w:t>
      </w:r>
      <w:r w:rsidR="00B40A88">
        <w:t>e</w:t>
      </w:r>
      <w:r w:rsidR="006E0F9C" w:rsidRPr="00ED1483">
        <w:t xml:space="preserve"> %</w:t>
      </w:r>
      <w:r w:rsidR="00B40A88">
        <w:t>6,1</w:t>
      </w:r>
      <w:r w:rsidRPr="00ED1483">
        <w:t xml:space="preserve"> </w:t>
      </w:r>
      <w:r w:rsidR="00B813BB" w:rsidRPr="00ED1483">
        <w:t>artarak</w:t>
      </w:r>
      <w:r w:rsidR="00F20AC8" w:rsidRPr="00ED1483">
        <w:t xml:space="preserve"> </w:t>
      </w:r>
      <w:r w:rsidR="00DC539A" w:rsidRPr="00ED1483">
        <w:t>1</w:t>
      </w:r>
      <w:r w:rsidR="00B40A88">
        <w:t>4</w:t>
      </w:r>
      <w:r w:rsidR="00F20AC8" w:rsidRPr="00ED1483">
        <w:t xml:space="preserve"> milyar </w:t>
      </w:r>
      <w:r w:rsidR="00B40A88">
        <w:t>765</w:t>
      </w:r>
      <w:r w:rsidRPr="00ED1483">
        <w:t xml:space="preserve"> milyon USD olarak gerçekleşmiştir.</w:t>
      </w:r>
    </w:p>
    <w:p w:rsidR="00DF0D78" w:rsidRPr="00ED1483" w:rsidRDefault="00DF0D78" w:rsidP="00DF0D78">
      <w:pPr>
        <w:tabs>
          <w:tab w:val="left" w:pos="0"/>
        </w:tabs>
        <w:jc w:val="both"/>
      </w:pPr>
    </w:p>
    <w:p w:rsidR="00DF0D78" w:rsidRPr="00ED1483" w:rsidRDefault="00697809" w:rsidP="00DF0D7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</w:pPr>
      <w:r w:rsidRPr="00ED1483">
        <w:t xml:space="preserve">Ocak </w:t>
      </w:r>
      <w:r w:rsidR="00B40A88">
        <w:t>2020</w:t>
      </w:r>
      <w:r w:rsidR="00D56530" w:rsidRPr="00ED1483">
        <w:t>’</w:t>
      </w:r>
      <w:r w:rsidR="00E35C82" w:rsidRPr="00ED1483">
        <w:t>d</w:t>
      </w:r>
      <w:r w:rsidR="00B40A88">
        <w:t>e</w:t>
      </w:r>
      <w:r w:rsidR="00DF0D78" w:rsidRPr="00ED1483">
        <w:t xml:space="preserve"> otomotiv endü</w:t>
      </w:r>
      <w:r w:rsidR="00B40A88">
        <w:t>strisi %3,2</w:t>
      </w:r>
      <w:r w:rsidR="00DF0D78" w:rsidRPr="00ED1483">
        <w:t xml:space="preserve"> </w:t>
      </w:r>
      <w:r w:rsidR="007D5C52" w:rsidRPr="00ED1483">
        <w:t xml:space="preserve">ihracat </w:t>
      </w:r>
      <w:r w:rsidR="00B813BB" w:rsidRPr="00ED1483">
        <w:t>artışı ile</w:t>
      </w:r>
      <w:r w:rsidR="007D5C52" w:rsidRPr="00ED1483">
        <w:t xml:space="preserve"> Türkiye ihracatında ilk</w:t>
      </w:r>
      <w:r w:rsidR="00DF0D78" w:rsidRPr="00ED1483">
        <w:t xml:space="preserve"> </w:t>
      </w:r>
      <w:r w:rsidR="00B6031B" w:rsidRPr="00ED1483">
        <w:t>sırada yer almıştır</w:t>
      </w:r>
      <w:r w:rsidR="00F20AC8" w:rsidRPr="00ED1483">
        <w:t xml:space="preserve">.  </w:t>
      </w:r>
      <w:r w:rsidR="00B40A88">
        <w:t>Ocak 2020’de</w:t>
      </w:r>
      <w:r w:rsidR="00DF0D78" w:rsidRPr="00ED1483">
        <w:t xml:space="preserve"> </w:t>
      </w:r>
      <w:r w:rsidR="00523AC7" w:rsidRPr="00ED1483">
        <w:t>otomotiv endüstrisi 2</w:t>
      </w:r>
      <w:r w:rsidR="00B40A88">
        <w:t>,4</w:t>
      </w:r>
      <w:r w:rsidR="001A6601" w:rsidRPr="00ED1483">
        <w:t xml:space="preserve"> </w:t>
      </w:r>
      <w:r w:rsidR="001F45A5">
        <w:t xml:space="preserve">milyar </w:t>
      </w:r>
      <w:proofErr w:type="spellStart"/>
      <w:r w:rsidR="001F45A5" w:rsidRPr="00ED1483">
        <w:t>USD’lik</w:t>
      </w:r>
      <w:proofErr w:type="spellEnd"/>
      <w:r w:rsidR="00DF0D78" w:rsidRPr="00ED1483">
        <w:t xml:space="preserve"> ihracata imza atmıştır. Endüstrinin Türkiye ihracatından aldığı</w:t>
      </w:r>
      <w:r w:rsidR="00B37A2A" w:rsidRPr="00ED1483">
        <w:t xml:space="preserve"> pa</w:t>
      </w:r>
      <w:r w:rsidR="006E0F9C" w:rsidRPr="00ED1483">
        <w:t>y %1</w:t>
      </w:r>
      <w:r w:rsidR="00B40A88">
        <w:t>6,3</w:t>
      </w:r>
      <w:r w:rsidR="00DF0D78" w:rsidRPr="00ED1483">
        <w:t xml:space="preserve"> olmuştur. </w:t>
      </w:r>
    </w:p>
    <w:p w:rsidR="00BC2D22" w:rsidRDefault="00BC2D22" w:rsidP="00BC2D22">
      <w:pPr>
        <w:pStyle w:val="ListeParagraf"/>
        <w:rPr>
          <w:b/>
        </w:rPr>
      </w:pPr>
    </w:p>
    <w:p w:rsidR="00234518" w:rsidRPr="00790EF7" w:rsidRDefault="00697809" w:rsidP="00790EF7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Ocak</w:t>
      </w:r>
      <w:r w:rsidR="004D5E1B">
        <w:rPr>
          <w:u w:val="single"/>
        </w:rPr>
        <w:t xml:space="preserve"> 2020</w:t>
      </w:r>
      <w:r w:rsidR="00790EF7" w:rsidRPr="00B11787">
        <w:rPr>
          <w:u w:val="single"/>
        </w:rPr>
        <w:t>’d</w:t>
      </w:r>
      <w:r w:rsidR="004D5E1B">
        <w:rPr>
          <w:u w:val="single"/>
        </w:rPr>
        <w:t>e</w:t>
      </w:r>
      <w:r w:rsidR="00790EF7" w:rsidRPr="00B11787">
        <w:rPr>
          <w:u w:val="single"/>
        </w:rPr>
        <w:t xml:space="preserve"> </w:t>
      </w:r>
      <w:r w:rsidR="004D5E1B">
        <w:rPr>
          <w:u w:val="single"/>
        </w:rPr>
        <w:t xml:space="preserve">Otomotiv endüstrisi </w:t>
      </w:r>
      <w:proofErr w:type="gramStart"/>
      <w:r w:rsidR="004D5E1B">
        <w:rPr>
          <w:u w:val="single"/>
        </w:rPr>
        <w:t>2.4</w:t>
      </w:r>
      <w:proofErr w:type="gramEnd"/>
      <w:r w:rsidR="003778AC">
        <w:rPr>
          <w:u w:val="single"/>
        </w:rPr>
        <w:t xml:space="preserve"> milyar USD ihracat ile</w:t>
      </w:r>
      <w:r w:rsidR="008E467B">
        <w:rPr>
          <w:u w:val="single"/>
        </w:rPr>
        <w:t xml:space="preserve"> yıl</w:t>
      </w:r>
      <w:r w:rsidR="00407579">
        <w:rPr>
          <w:u w:val="single"/>
        </w:rPr>
        <w:t xml:space="preserve">a iyi bir başlangıç yapmış ve bu güne kadarki en yüksek Ocak rakamına ulaşmıştır. 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3778AC" w:rsidRDefault="003778AC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Ocak ayında</w:t>
      </w:r>
      <w:r w:rsidR="00790EF7">
        <w:rPr>
          <w:u w:val="single"/>
        </w:rPr>
        <w:t xml:space="preserve"> </w:t>
      </w:r>
      <w:r w:rsidR="00960678">
        <w:rPr>
          <w:u w:val="single"/>
        </w:rPr>
        <w:t xml:space="preserve">binek otomobillerde </w:t>
      </w:r>
      <w:r>
        <w:rPr>
          <w:u w:val="single"/>
        </w:rPr>
        <w:t>çift haneli ihracat artışı yaşanırken, diğer ana ürün gruplarında düşüş görülmüştür.</w:t>
      </w:r>
    </w:p>
    <w:p w:rsidR="003778AC" w:rsidRPr="0095250E" w:rsidRDefault="003778AC" w:rsidP="003778AC">
      <w:pPr>
        <w:tabs>
          <w:tab w:val="left" w:pos="0"/>
        </w:tabs>
        <w:contextualSpacing/>
        <w:jc w:val="both"/>
        <w:rPr>
          <w:sz w:val="20"/>
          <w:szCs w:val="20"/>
          <w:u w:val="single"/>
        </w:rPr>
      </w:pPr>
    </w:p>
    <w:p w:rsidR="003778AC" w:rsidRDefault="003778AC" w:rsidP="003778AC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Fransa ve İspanya’ya çift haneli ihracat artışı dikkat çekmiştir.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  <w:bookmarkStart w:id="0" w:name="_GoBack"/>
      <w:bookmarkEnd w:id="0"/>
    </w:p>
    <w:p w:rsidR="0095250E" w:rsidRDefault="0095250E" w:rsidP="0095250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95250E">
        <w:rPr>
          <w:u w:val="single"/>
        </w:rPr>
        <w:t>AB Ülkeler</w:t>
      </w:r>
      <w:r w:rsidR="00960678">
        <w:rPr>
          <w:u w:val="single"/>
        </w:rPr>
        <w:t xml:space="preserve">ine yönelik ihracat </w:t>
      </w:r>
      <w:r w:rsidR="003778AC">
        <w:rPr>
          <w:u w:val="single"/>
        </w:rPr>
        <w:t>2020 yılına küçük de olsa bir artış ile başlamıştır.</w:t>
      </w:r>
    </w:p>
    <w:p w:rsidR="0095250E" w:rsidRDefault="0095250E" w:rsidP="0095250E">
      <w:pPr>
        <w:pStyle w:val="ListeParagraf"/>
        <w:rPr>
          <w:u w:val="single"/>
        </w:rPr>
      </w:pP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778AC" w:rsidRDefault="003778AC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697809" w:rsidRDefault="0069780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4D5E1B">
        <w:rPr>
          <w:rFonts w:ascii="Arial" w:hAnsi="Arial" w:cs="Arial"/>
          <w:b/>
          <w:snapToGrid w:val="0"/>
          <w:szCs w:val="20"/>
        </w:rPr>
        <w:t>Ocak 2020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2B7123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2243"/>
        <w:gridCol w:w="1842"/>
        <w:gridCol w:w="1276"/>
        <w:gridCol w:w="1598"/>
      </w:tblGrid>
      <w:tr w:rsidR="007D20DC" w:rsidTr="007D20DC">
        <w:trPr>
          <w:trHeight w:val="304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201</w:t>
            </w:r>
            <w:r w:rsidR="004D5E1B"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 w:rsidP="00511D6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</w:t>
            </w:r>
            <w:r w:rsidR="00F81063">
              <w:rPr>
                <w:rFonts w:ascii="Arial" w:hAnsi="Arial" w:cs="Arial"/>
                <w:b/>
                <w:bCs/>
                <w:snapToGrid w:val="0"/>
                <w:color w:val="000000"/>
              </w:rPr>
              <w:t>/1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9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2020</w:t>
            </w:r>
          </w:p>
        </w:tc>
      </w:tr>
      <w:tr w:rsidR="007D20DC" w:rsidTr="007D20D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1F45A5" w:rsidTr="00A2039C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A5" w:rsidRDefault="001F45A5" w:rsidP="001F45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813.223.679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1.033.163.409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</w:tr>
      <w:tr w:rsidR="001F45A5" w:rsidRPr="00511D69" w:rsidTr="008517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A5" w:rsidRDefault="001F45A5" w:rsidP="001F45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870.873.609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861.476.015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</w:tr>
      <w:tr w:rsidR="001F45A5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A5" w:rsidRDefault="001F45A5" w:rsidP="001F45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381.398.206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332.815.240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F45A5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5A5" w:rsidRDefault="001F45A5" w:rsidP="001F45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168.937.998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1F45A5" w:rsidP="001F45A5">
            <w:pPr>
              <w:jc w:val="center"/>
              <w:rPr>
                <w:rFonts w:ascii="Arial" w:hAnsi="Arial" w:cs="Arial"/>
                <w:color w:val="000000"/>
              </w:rPr>
            </w:pPr>
            <w:r w:rsidRPr="001F45A5">
              <w:rPr>
                <w:rFonts w:ascii="Arial" w:hAnsi="Arial" w:cs="Arial"/>
                <w:color w:val="000000"/>
              </w:rPr>
              <w:t>134.714.272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45A5" w:rsidRPr="001F45A5" w:rsidRDefault="00FF5B8E" w:rsidP="001F45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5,5</w:t>
            </w:r>
          </w:p>
        </w:tc>
      </w:tr>
      <w:tr w:rsidR="00FF5B8E" w:rsidRPr="00511D69" w:rsidTr="00EB462B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B8E" w:rsidRDefault="00FF5B8E" w:rsidP="00FF5B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color w:val="000000"/>
              </w:rPr>
            </w:pPr>
            <w:r w:rsidRPr="00FF5B8E">
              <w:rPr>
                <w:rFonts w:ascii="Arial" w:hAnsi="Arial" w:cs="Arial"/>
                <w:color w:val="000000"/>
              </w:rPr>
              <w:t>93.148.063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color w:val="000000"/>
              </w:rPr>
            </w:pPr>
            <w:r w:rsidRPr="00FF5B8E">
              <w:rPr>
                <w:rFonts w:ascii="Arial" w:hAnsi="Arial" w:cs="Arial"/>
                <w:color w:val="000000"/>
              </w:rPr>
              <w:t>40.011.034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FF5B8E" w:rsidRPr="00511D69" w:rsidTr="001B1F6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B8E" w:rsidRPr="00511D69" w:rsidRDefault="00FF5B8E" w:rsidP="00FF5B8E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5B8E">
              <w:rPr>
                <w:rFonts w:ascii="Arial" w:hAnsi="Arial" w:cs="Arial"/>
                <w:b/>
                <w:color w:val="000000"/>
              </w:rPr>
              <w:t>2.327.581.555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F5B8E">
              <w:rPr>
                <w:rFonts w:ascii="Arial" w:hAnsi="Arial" w:cs="Arial"/>
                <w:b/>
                <w:color w:val="000000"/>
              </w:rPr>
              <w:t>2.402.179.971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5B8E" w:rsidRPr="00FF5B8E" w:rsidRDefault="00FF5B8E" w:rsidP="00FF5B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B8E" w:rsidRPr="00511D69" w:rsidRDefault="00FF5B8E" w:rsidP="00FF5B8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</w:t>
      </w:r>
      <w:r w:rsidR="00551FC3">
        <w:rPr>
          <w:b/>
          <w:snapToGrid w:val="0"/>
          <w:szCs w:val="20"/>
        </w:rPr>
        <w:t>om</w:t>
      </w:r>
      <w:r w:rsidR="00C9188F">
        <w:rPr>
          <w:b/>
          <w:snapToGrid w:val="0"/>
          <w:szCs w:val="20"/>
        </w:rPr>
        <w:t xml:space="preserve">otiv </w:t>
      </w:r>
      <w:r w:rsidR="00FF5B8E">
        <w:rPr>
          <w:b/>
          <w:snapToGrid w:val="0"/>
          <w:szCs w:val="20"/>
        </w:rPr>
        <w:t>Tedarik Endüstrisi</w:t>
      </w:r>
      <w:r w:rsidR="00DD2999">
        <w:rPr>
          <w:b/>
          <w:snapToGrid w:val="0"/>
          <w:szCs w:val="20"/>
        </w:rPr>
        <w:t xml:space="preserve"> ihracatı </w:t>
      </w:r>
      <w:r w:rsidR="00511D69">
        <w:rPr>
          <w:b/>
          <w:snapToGrid w:val="0"/>
          <w:szCs w:val="20"/>
        </w:rPr>
        <w:t>Ocak 2</w:t>
      </w:r>
      <w:r w:rsidR="00FF5B8E">
        <w:rPr>
          <w:b/>
          <w:snapToGrid w:val="0"/>
          <w:szCs w:val="20"/>
        </w:rPr>
        <w:t>020</w:t>
      </w:r>
      <w:r w:rsidR="00D56530">
        <w:rPr>
          <w:b/>
          <w:snapToGrid w:val="0"/>
          <w:szCs w:val="20"/>
        </w:rPr>
        <w:t>’</w:t>
      </w:r>
      <w:r w:rsidR="0053052A">
        <w:rPr>
          <w:b/>
          <w:snapToGrid w:val="0"/>
          <w:szCs w:val="20"/>
        </w:rPr>
        <w:t>d</w:t>
      </w:r>
      <w:r w:rsidR="00FF5B8E">
        <w:rPr>
          <w:b/>
          <w:snapToGrid w:val="0"/>
          <w:szCs w:val="20"/>
        </w:rPr>
        <w:t>e</w:t>
      </w:r>
      <w:r w:rsidR="00381D7F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FF5B8E">
        <w:rPr>
          <w:b/>
          <w:snapToGrid w:val="0"/>
          <w:szCs w:val="20"/>
        </w:rPr>
        <w:t>1</w:t>
      </w:r>
      <w:r w:rsidR="0001011D">
        <w:rPr>
          <w:b/>
          <w:snapToGrid w:val="0"/>
          <w:szCs w:val="20"/>
        </w:rPr>
        <w:t xml:space="preserve"> </w:t>
      </w:r>
      <w:r w:rsidR="00511D69">
        <w:rPr>
          <w:b/>
          <w:snapToGrid w:val="0"/>
          <w:szCs w:val="20"/>
        </w:rPr>
        <w:t xml:space="preserve">azalarak </w:t>
      </w:r>
      <w:r w:rsidR="00882E5E">
        <w:rPr>
          <w:b/>
          <w:snapToGrid w:val="0"/>
          <w:szCs w:val="20"/>
        </w:rPr>
        <w:t>8</w:t>
      </w:r>
      <w:r w:rsidR="00FF5B8E">
        <w:rPr>
          <w:b/>
          <w:snapToGrid w:val="0"/>
          <w:szCs w:val="20"/>
        </w:rPr>
        <w:t>61</w:t>
      </w:r>
      <w:r w:rsidR="0053052A">
        <w:rPr>
          <w:b/>
          <w:snapToGrid w:val="0"/>
          <w:szCs w:val="20"/>
        </w:rPr>
        <w:t xml:space="preserve"> milyon USD olarak gerçekleşmiştir.</w:t>
      </w:r>
      <w:r w:rsidR="00511D69">
        <w:rPr>
          <w:b/>
          <w:snapToGrid w:val="0"/>
          <w:szCs w:val="20"/>
        </w:rPr>
        <w:t xml:space="preserve"> 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551FC3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</w:t>
      </w:r>
      <w:r w:rsidR="00FF5B8E">
        <w:rPr>
          <w:b/>
          <w:snapToGrid w:val="0"/>
          <w:szCs w:val="20"/>
        </w:rPr>
        <w:t>27</w:t>
      </w:r>
      <w:r w:rsidR="00511D69">
        <w:rPr>
          <w:b/>
          <w:snapToGrid w:val="0"/>
          <w:szCs w:val="20"/>
        </w:rPr>
        <w:t xml:space="preserve"> </w:t>
      </w:r>
      <w:r w:rsidR="00FF5B8E">
        <w:rPr>
          <w:b/>
          <w:snapToGrid w:val="0"/>
          <w:szCs w:val="20"/>
        </w:rPr>
        <w:t>artmış</w:t>
      </w:r>
      <w:r w:rsidR="0053052A">
        <w:rPr>
          <w:b/>
          <w:snapToGrid w:val="0"/>
          <w:szCs w:val="20"/>
        </w:rPr>
        <w:t xml:space="preserve"> ve </w:t>
      </w:r>
      <w:r w:rsidR="00FF5B8E">
        <w:rPr>
          <w:b/>
          <w:snapToGrid w:val="0"/>
          <w:szCs w:val="20"/>
        </w:rPr>
        <w:t>1 milyar 33</w:t>
      </w:r>
      <w:r w:rsidR="00DF0D78" w:rsidRPr="002B7123">
        <w:rPr>
          <w:b/>
          <w:snapToGrid w:val="0"/>
          <w:szCs w:val="20"/>
        </w:rPr>
        <w:t xml:space="preserve"> milyon USD</w:t>
      </w:r>
      <w:r w:rsidR="00FF5B8E">
        <w:rPr>
          <w:b/>
          <w:snapToGrid w:val="0"/>
          <w:szCs w:val="20"/>
        </w:rPr>
        <w:t xml:space="preserve"> ile</w:t>
      </w:r>
      <w:r w:rsidR="00DF0D78" w:rsidRPr="002B7123">
        <w:rPr>
          <w:b/>
          <w:snapToGrid w:val="0"/>
          <w:szCs w:val="20"/>
        </w:rPr>
        <w:t xml:space="preserve"> </w:t>
      </w:r>
      <w:r w:rsidR="00FF5B8E">
        <w:rPr>
          <w:b/>
          <w:snapToGrid w:val="0"/>
          <w:szCs w:val="20"/>
        </w:rPr>
        <w:t>en fazla ihracat yapılan ürün grubu ol</w:t>
      </w:r>
      <w:r w:rsidR="00097AA3">
        <w:rPr>
          <w:b/>
          <w:snapToGrid w:val="0"/>
          <w:szCs w:val="20"/>
        </w:rPr>
        <w:t>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097AA3">
        <w:rPr>
          <w:b/>
          <w:snapToGrid w:val="0"/>
          <w:szCs w:val="20"/>
        </w:rPr>
        <w:t>13</w:t>
      </w:r>
      <w:r w:rsidR="008B5094">
        <w:rPr>
          <w:b/>
          <w:snapToGrid w:val="0"/>
          <w:szCs w:val="20"/>
        </w:rPr>
        <w:t xml:space="preserve"> </w:t>
      </w:r>
      <w:r w:rsidR="00097AA3">
        <w:rPr>
          <w:b/>
          <w:snapToGrid w:val="0"/>
          <w:szCs w:val="20"/>
        </w:rPr>
        <w:t>düşerek</w:t>
      </w:r>
      <w:r w:rsidR="00347AA8">
        <w:rPr>
          <w:b/>
          <w:snapToGrid w:val="0"/>
          <w:szCs w:val="20"/>
        </w:rPr>
        <w:t xml:space="preserve"> </w:t>
      </w:r>
      <w:r w:rsidR="00097AA3">
        <w:rPr>
          <w:b/>
          <w:snapToGrid w:val="0"/>
          <w:szCs w:val="20"/>
        </w:rPr>
        <w:t>333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097AA3">
        <w:rPr>
          <w:b/>
          <w:snapToGrid w:val="0"/>
          <w:szCs w:val="20"/>
        </w:rPr>
        <w:t>20 düşerek</w:t>
      </w:r>
      <w:r w:rsidR="00882E5E">
        <w:rPr>
          <w:b/>
          <w:snapToGrid w:val="0"/>
          <w:szCs w:val="20"/>
        </w:rPr>
        <w:t xml:space="preserve"> 1</w:t>
      </w:r>
      <w:r w:rsidR="00097AA3">
        <w:rPr>
          <w:b/>
          <w:snapToGrid w:val="0"/>
          <w:szCs w:val="20"/>
        </w:rPr>
        <w:t>35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B7123" w:rsidRDefault="00097AA3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2B7123">
        <w:rPr>
          <w:snapToGrid w:val="0"/>
          <w:szCs w:val="20"/>
        </w:rPr>
        <w:t xml:space="preserve"> </w:t>
      </w:r>
      <w:r w:rsidR="00FC33E0">
        <w:rPr>
          <w:snapToGrid w:val="0"/>
          <w:szCs w:val="20"/>
        </w:rPr>
        <w:t>en fazla ihracat yapılan</w:t>
      </w:r>
      <w:r w:rsidR="00CA1E62">
        <w:rPr>
          <w:snapToGrid w:val="0"/>
          <w:szCs w:val="20"/>
        </w:rPr>
        <w:t xml:space="preserve"> </w:t>
      </w:r>
      <w:r w:rsidR="00146193">
        <w:rPr>
          <w:snapToGrid w:val="0"/>
          <w:szCs w:val="20"/>
        </w:rPr>
        <w:t xml:space="preserve">ülke olan </w:t>
      </w:r>
      <w:r w:rsidR="00882E5E">
        <w:rPr>
          <w:snapToGrid w:val="0"/>
          <w:szCs w:val="20"/>
        </w:rPr>
        <w:t xml:space="preserve">Almanya’ya </w:t>
      </w:r>
      <w:r w:rsidR="00025472">
        <w:rPr>
          <w:snapToGrid w:val="0"/>
          <w:szCs w:val="20"/>
        </w:rPr>
        <w:t>ihracat</w:t>
      </w:r>
      <w:r>
        <w:rPr>
          <w:snapToGrid w:val="0"/>
          <w:szCs w:val="20"/>
        </w:rPr>
        <w:t>ta</w:t>
      </w:r>
      <w:r w:rsidR="00025472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8,5</w:t>
      </w:r>
      <w:r w:rsidR="00FC33E0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 xml:space="preserve">oranında bir </w:t>
      </w:r>
      <w:r>
        <w:rPr>
          <w:snapToGrid w:val="0"/>
          <w:szCs w:val="20"/>
        </w:rPr>
        <w:t>azalma görülürken</w:t>
      </w:r>
      <w:r w:rsidR="00FC33E0">
        <w:rPr>
          <w:snapToGrid w:val="0"/>
          <w:szCs w:val="20"/>
        </w:rPr>
        <w:t>, yine önemli pazarlarımızdan</w:t>
      </w:r>
      <w:r w:rsidR="0014619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Romanya’ya</w:t>
      </w:r>
      <w:r w:rsidR="00025472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>
        <w:rPr>
          <w:snapToGrid w:val="0"/>
          <w:szCs w:val="20"/>
        </w:rPr>
        <w:t>23</w:t>
      </w:r>
      <w:r w:rsidR="00EE7A2C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İspanya’ya %10, Rusya’ya %14, Slovenya’ya %168</w:t>
      </w:r>
      <w:r w:rsidR="00EE7A2C">
        <w:rPr>
          <w:snapToGrid w:val="0"/>
          <w:szCs w:val="20"/>
        </w:rPr>
        <w:t xml:space="preserve"> ihracat artışı görülmüştür.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02547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="00B028B2" w:rsidRPr="00AA3127">
        <w:rPr>
          <w:snapToGrid w:val="0"/>
          <w:szCs w:val="20"/>
        </w:rPr>
        <w:t xml:space="preserve"> </w:t>
      </w:r>
      <w:r w:rsidR="00097AA3">
        <w:rPr>
          <w:snapToGrid w:val="0"/>
          <w:szCs w:val="20"/>
        </w:rPr>
        <w:t>2020</w:t>
      </w:r>
      <w:r w:rsidR="00D56530" w:rsidRPr="00AA3127">
        <w:rPr>
          <w:snapToGrid w:val="0"/>
          <w:szCs w:val="20"/>
        </w:rPr>
        <w:t>’</w:t>
      </w:r>
      <w:r w:rsidR="00EA18F7" w:rsidRPr="00AA3127">
        <w:rPr>
          <w:snapToGrid w:val="0"/>
          <w:szCs w:val="20"/>
        </w:rPr>
        <w:t>d</w:t>
      </w:r>
      <w:r w:rsidR="00097AA3">
        <w:rPr>
          <w:snapToGrid w:val="0"/>
          <w:szCs w:val="20"/>
        </w:rPr>
        <w:t>e</w:t>
      </w:r>
      <w:r w:rsidR="00AA3127">
        <w:rPr>
          <w:snapToGrid w:val="0"/>
          <w:szCs w:val="20"/>
        </w:rPr>
        <w:t xml:space="preserve"> binek otomobillerde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097AA3">
        <w:rPr>
          <w:snapToGrid w:val="0"/>
          <w:szCs w:val="20"/>
        </w:rPr>
        <w:t>72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</w:t>
      </w:r>
      <w:r w:rsidR="00097AA3">
        <w:rPr>
          <w:snapToGrid w:val="0"/>
          <w:szCs w:val="20"/>
        </w:rPr>
        <w:t>’ya %33</w:t>
      </w:r>
      <w:r w:rsidR="00AA3127" w:rsidRPr="00AA3127">
        <w:rPr>
          <w:snapToGrid w:val="0"/>
          <w:szCs w:val="20"/>
        </w:rPr>
        <w:t xml:space="preserve">, </w:t>
      </w:r>
      <w:r w:rsidR="00097AA3">
        <w:rPr>
          <w:snapToGrid w:val="0"/>
          <w:szCs w:val="20"/>
        </w:rPr>
        <w:t>İspanya’ya %48, Almanya’ya %44, Belçika’ya %20</w:t>
      </w:r>
      <w:r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 xml:space="preserve">ihracat </w:t>
      </w:r>
      <w:r w:rsidR="00097AA3">
        <w:rPr>
          <w:snapToGrid w:val="0"/>
          <w:szCs w:val="20"/>
        </w:rPr>
        <w:t>artışı</w:t>
      </w:r>
      <w:r w:rsidR="00AA3127">
        <w:rPr>
          <w:snapToGrid w:val="0"/>
          <w:szCs w:val="20"/>
        </w:rPr>
        <w:t xml:space="preserve"> görülürken, yine önemli pazarlarımızdan </w:t>
      </w:r>
      <w:r w:rsidR="00097AA3">
        <w:rPr>
          <w:snapToGrid w:val="0"/>
          <w:szCs w:val="20"/>
        </w:rPr>
        <w:t>Slovenya’ya %34,5 ABD’ye %52</w:t>
      </w:r>
      <w:r w:rsidR="00AA3127">
        <w:rPr>
          <w:snapToGrid w:val="0"/>
          <w:szCs w:val="20"/>
        </w:rPr>
        <w:t xml:space="preserve"> ihracat </w:t>
      </w:r>
      <w:r w:rsidR="00097AA3">
        <w:rPr>
          <w:snapToGrid w:val="0"/>
          <w:szCs w:val="20"/>
        </w:rPr>
        <w:t>düşüşü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DF0D78" w:rsidRPr="00203CC7" w:rsidRDefault="00DF0D78" w:rsidP="006210D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>ülke olan Birleşik Krallığa %</w:t>
      </w:r>
      <w:r w:rsidR="00097AA3">
        <w:rPr>
          <w:snapToGrid w:val="0"/>
          <w:szCs w:val="20"/>
        </w:rPr>
        <w:t>11</w:t>
      </w:r>
      <w:r w:rsidR="00850167" w:rsidRPr="00203CC7">
        <w:rPr>
          <w:snapToGrid w:val="0"/>
          <w:szCs w:val="20"/>
        </w:rPr>
        <w:t>, önem</w:t>
      </w:r>
      <w:r w:rsidR="00597B3A" w:rsidRPr="00203CC7">
        <w:rPr>
          <w:snapToGrid w:val="0"/>
          <w:szCs w:val="20"/>
        </w:rPr>
        <w:t xml:space="preserve">li pazarlarımızdan </w:t>
      </w:r>
      <w:r w:rsidR="00097AA3">
        <w:rPr>
          <w:snapToGrid w:val="0"/>
          <w:szCs w:val="20"/>
        </w:rPr>
        <w:t>Slovenya’ya % 28, Hollanda’ya %40</w:t>
      </w:r>
      <w:r w:rsidR="00203CC7" w:rsidRPr="00203CC7">
        <w:rPr>
          <w:snapToGrid w:val="0"/>
          <w:szCs w:val="20"/>
        </w:rPr>
        <w:t xml:space="preserve">, </w:t>
      </w:r>
      <w:r w:rsidR="00097AA3">
        <w:rPr>
          <w:snapToGrid w:val="0"/>
          <w:szCs w:val="20"/>
        </w:rPr>
        <w:t>Almanya’ya %42, Belçika’ya %33 ihracat düşüşü</w:t>
      </w:r>
      <w:r w:rsidR="00203CC7" w:rsidRPr="00203CC7">
        <w:rPr>
          <w:snapToGrid w:val="0"/>
          <w:szCs w:val="20"/>
        </w:rPr>
        <w:t xml:space="preserve"> yaşanırken,  </w:t>
      </w:r>
      <w:r w:rsidR="00597B3A" w:rsidRPr="00203CC7">
        <w:rPr>
          <w:snapToGrid w:val="0"/>
          <w:szCs w:val="20"/>
        </w:rPr>
        <w:t>İspanya’ya %</w:t>
      </w:r>
      <w:r w:rsidR="00704AA4">
        <w:rPr>
          <w:snapToGrid w:val="0"/>
          <w:szCs w:val="20"/>
        </w:rPr>
        <w:t xml:space="preserve">86 </w:t>
      </w:r>
      <w:r w:rsidR="00704AA4" w:rsidRPr="00203CC7">
        <w:rPr>
          <w:snapToGrid w:val="0"/>
          <w:szCs w:val="20"/>
        </w:rPr>
        <w:t>ihracat</w:t>
      </w:r>
      <w:r w:rsidR="00097AA3">
        <w:rPr>
          <w:snapToGrid w:val="0"/>
          <w:szCs w:val="20"/>
        </w:rPr>
        <w:t xml:space="preserve"> artışı</w:t>
      </w:r>
      <w:r w:rsidR="00850167" w:rsidRPr="00203CC7">
        <w:rPr>
          <w:snapToGrid w:val="0"/>
          <w:szCs w:val="20"/>
        </w:rPr>
        <w:t xml:space="preserve"> görülmüştür.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4533D4" w:rsidRDefault="00DF0D78" w:rsidP="00A04E9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177AF">
        <w:rPr>
          <w:snapToGrid w:val="0"/>
          <w:szCs w:val="20"/>
        </w:rPr>
        <w:t xml:space="preserve">Otobüs Minibüs Midibüs ürün grubunda ise </w:t>
      </w:r>
      <w:r w:rsidR="004533D4">
        <w:rPr>
          <w:snapToGrid w:val="0"/>
          <w:szCs w:val="20"/>
        </w:rPr>
        <w:t xml:space="preserve">en fazla ihracat yapılan ülke olan </w:t>
      </w:r>
      <w:r w:rsidR="00097AA3">
        <w:rPr>
          <w:snapToGrid w:val="0"/>
          <w:szCs w:val="20"/>
        </w:rPr>
        <w:t>Almanya’ya %23</w:t>
      </w:r>
      <w:r w:rsidR="000810FF">
        <w:rPr>
          <w:snapToGrid w:val="0"/>
          <w:szCs w:val="20"/>
        </w:rPr>
        <w:t xml:space="preserve">, </w:t>
      </w:r>
      <w:r w:rsidR="00850167">
        <w:rPr>
          <w:snapToGrid w:val="0"/>
          <w:szCs w:val="20"/>
        </w:rPr>
        <w:t>ihracat artışı</w:t>
      </w:r>
      <w:r w:rsidR="004533D4">
        <w:rPr>
          <w:snapToGrid w:val="0"/>
          <w:szCs w:val="20"/>
        </w:rPr>
        <w:t xml:space="preserve"> görülürken, </w:t>
      </w:r>
      <w:r w:rsidR="007159D6">
        <w:rPr>
          <w:snapToGrid w:val="0"/>
          <w:szCs w:val="20"/>
        </w:rPr>
        <w:t xml:space="preserve">önemli pazarlarımızdan </w:t>
      </w:r>
      <w:r w:rsidR="00097AA3">
        <w:rPr>
          <w:snapToGrid w:val="0"/>
          <w:szCs w:val="20"/>
        </w:rPr>
        <w:t>İtalya’ya %12, Fransa’ya %19</w:t>
      </w:r>
      <w:r w:rsidR="00850167">
        <w:rPr>
          <w:snapToGrid w:val="0"/>
          <w:szCs w:val="20"/>
        </w:rPr>
        <w:t xml:space="preserve"> ihracat düşüşü görülmüştür.</w:t>
      </w:r>
    </w:p>
    <w:p w:rsidR="00AA3127" w:rsidRDefault="00AA3127" w:rsidP="00AA3127">
      <w:pPr>
        <w:contextualSpacing/>
        <w:jc w:val="both"/>
        <w:rPr>
          <w:snapToGrid w:val="0"/>
          <w:szCs w:val="20"/>
        </w:rPr>
      </w:pPr>
    </w:p>
    <w:p w:rsidR="000810FF" w:rsidRPr="00A04E9E" w:rsidRDefault="000810FF" w:rsidP="00AA3127">
      <w:pPr>
        <w:contextualSpacing/>
        <w:jc w:val="both"/>
        <w:rPr>
          <w:snapToGrid w:val="0"/>
          <w:szCs w:val="20"/>
        </w:rPr>
      </w:pPr>
    </w:p>
    <w:p w:rsidR="00586307" w:rsidRPr="00284A1F" w:rsidRDefault="00586307" w:rsidP="002C590B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810FF">
        <w:rPr>
          <w:rFonts w:ascii="Arial" w:hAnsi="Arial" w:cs="Arial"/>
          <w:b/>
          <w:snapToGrid w:val="0"/>
          <w:szCs w:val="20"/>
        </w:rPr>
        <w:t>Ocak</w:t>
      </w:r>
      <w:r w:rsidR="00704AA4">
        <w:rPr>
          <w:rFonts w:ascii="Arial" w:hAnsi="Arial" w:cs="Arial"/>
          <w:b/>
          <w:snapToGrid w:val="0"/>
          <w:szCs w:val="20"/>
        </w:rPr>
        <w:t xml:space="preserve"> 2020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4F5957" w:rsidRPr="004F5957" w:rsidTr="004F5957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F5957" w:rsidRPr="004F5957" w:rsidRDefault="004F5957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4F5957" w:rsidRPr="004F5957" w:rsidRDefault="00704AA4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4F5957" w:rsidRPr="004F5957" w:rsidRDefault="00704AA4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348.570.024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340.660.788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225.517.579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276.836.852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258.638.513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245.109.450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196.577.126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214.391.775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8,9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130.672.942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168.693.849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110.091.612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99.756.323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106.564.176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93.819.509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ROMANYA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84.004.345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78.307.573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113.695.611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74.236.359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704AA4" w:rsidRPr="004F5957" w:rsidTr="00D63490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77.704.080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62.558.974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-19,5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04AA4" w:rsidRPr="004F5957" w:rsidTr="004B2FE1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704AA4" w:rsidRPr="00704AA4" w:rsidRDefault="00704AA4" w:rsidP="00704AA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1.652.036.008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1.654.371.452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0,1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68,9</w:t>
            </w:r>
          </w:p>
        </w:tc>
      </w:tr>
      <w:tr w:rsidR="00704AA4" w:rsidRPr="004F5957" w:rsidTr="005F5682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704AA4" w:rsidRPr="00704AA4" w:rsidRDefault="00704AA4" w:rsidP="00704AA4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2.327.581.555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2.402.179.971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704AA4" w:rsidRPr="00704AA4" w:rsidRDefault="00704AA4" w:rsidP="00704AA4">
            <w:pPr>
              <w:jc w:val="center"/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100%</w:t>
            </w:r>
          </w:p>
        </w:tc>
      </w:tr>
    </w:tbl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704AA4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2020’de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 w:rsidR="00CD187A">
        <w:rPr>
          <w:b/>
          <w:snapToGrid w:val="0"/>
          <w:szCs w:val="20"/>
        </w:rPr>
        <w:t>34</w:t>
      </w:r>
      <w:r>
        <w:rPr>
          <w:b/>
          <w:snapToGrid w:val="0"/>
          <w:szCs w:val="20"/>
        </w:rPr>
        <w:t>1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%2 gerilemiştir.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704AA4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2020</w:t>
      </w:r>
      <w:r w:rsidR="00CD187A">
        <w:rPr>
          <w:b/>
          <w:snapToGrid w:val="0"/>
          <w:szCs w:val="20"/>
        </w:rPr>
        <w:t xml:space="preserve"> yılının ilk ayında, </w:t>
      </w:r>
      <w:r>
        <w:rPr>
          <w:b/>
          <w:snapToGrid w:val="0"/>
          <w:szCs w:val="20"/>
        </w:rPr>
        <w:t>Fransa 277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23</w:t>
      </w:r>
      <w:r w:rsidR="005801D1">
        <w:rPr>
          <w:b/>
          <w:snapToGrid w:val="0"/>
          <w:szCs w:val="20"/>
        </w:rPr>
        <w:t xml:space="preserve"> </w:t>
      </w:r>
      <w:r w:rsidR="00CD187A">
        <w:rPr>
          <w:b/>
          <w:snapToGrid w:val="0"/>
          <w:szCs w:val="20"/>
        </w:rPr>
        <w:t xml:space="preserve">artış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>
        <w:rPr>
          <w:b/>
          <w:snapToGrid w:val="0"/>
          <w:szCs w:val="20"/>
        </w:rPr>
        <w:t>nelik ihracatımız</w:t>
      </w:r>
      <w:r w:rsidR="002829D4">
        <w:rPr>
          <w:b/>
          <w:snapToGrid w:val="0"/>
          <w:szCs w:val="20"/>
        </w:rPr>
        <w:t xml:space="preserve"> %</w:t>
      </w:r>
      <w:r w:rsidR="00CD187A">
        <w:rPr>
          <w:b/>
          <w:snapToGrid w:val="0"/>
          <w:szCs w:val="20"/>
        </w:rPr>
        <w:t>5</w:t>
      </w:r>
      <w:r w:rsidR="005801D1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 w:rsidR="005801D1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>45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C8607A" w:rsidRDefault="00704AA4" w:rsidP="006D458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</w:t>
      </w:r>
      <w:r w:rsidRPr="00C8607A">
        <w:rPr>
          <w:b/>
          <w:snapToGrid w:val="0"/>
          <w:szCs w:val="20"/>
        </w:rPr>
        <w:t xml:space="preserve">pazarlarımızdan </w:t>
      </w:r>
      <w:r>
        <w:rPr>
          <w:b/>
          <w:snapToGrid w:val="0"/>
          <w:szCs w:val="20"/>
        </w:rPr>
        <w:t>İspanya’ya %29</w:t>
      </w:r>
      <w:r w:rsidR="005801D1"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Mısır’a</w:t>
      </w:r>
      <w:r w:rsidR="005801D1" w:rsidRPr="004E3E7B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115</w:t>
      </w:r>
      <w:r w:rsidR="00962102"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Rusya’ya</w:t>
      </w:r>
      <w:r w:rsidR="005801D1" w:rsidRPr="004E3E7B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37</w:t>
      </w:r>
      <w:r w:rsidR="005801D1"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İsveç’e </w:t>
      </w:r>
      <w:r w:rsidR="005801D1" w:rsidRPr="004E3E7B">
        <w:rPr>
          <w:b/>
          <w:snapToGrid w:val="0"/>
          <w:szCs w:val="20"/>
        </w:rPr>
        <w:t>%</w:t>
      </w:r>
      <w:r>
        <w:rPr>
          <w:b/>
          <w:snapToGrid w:val="0"/>
          <w:szCs w:val="20"/>
        </w:rPr>
        <w:t>20</w:t>
      </w:r>
      <w:r w:rsidR="004E3E7B"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Fas’a %17</w:t>
      </w:r>
      <w:r w:rsidR="001968E8" w:rsidRPr="004E3E7B">
        <w:rPr>
          <w:b/>
          <w:snapToGrid w:val="0"/>
          <w:szCs w:val="20"/>
        </w:rPr>
        <w:t xml:space="preserve"> ihracat artışı görülürken, </w:t>
      </w:r>
      <w:r w:rsidR="00DB3760">
        <w:rPr>
          <w:b/>
          <w:snapToGrid w:val="0"/>
          <w:szCs w:val="20"/>
        </w:rPr>
        <w:t>Belçika’</w:t>
      </w:r>
      <w:r w:rsidR="004E3E7B" w:rsidRPr="004E3E7B">
        <w:rPr>
          <w:b/>
          <w:snapToGrid w:val="0"/>
          <w:szCs w:val="20"/>
        </w:rPr>
        <w:t xml:space="preserve">ya </w:t>
      </w:r>
      <w:r w:rsidR="005801D1" w:rsidRPr="004E3E7B">
        <w:rPr>
          <w:b/>
          <w:snapToGrid w:val="0"/>
          <w:szCs w:val="20"/>
        </w:rPr>
        <w:t xml:space="preserve"> %</w:t>
      </w:r>
      <w:r w:rsidR="00DB3760">
        <w:rPr>
          <w:b/>
          <w:snapToGrid w:val="0"/>
          <w:szCs w:val="20"/>
        </w:rPr>
        <w:t>12, Polonya’ya %35, ABD’ye %19,5</w:t>
      </w:r>
      <w:r w:rsidR="001968E8" w:rsidRPr="004E3E7B">
        <w:rPr>
          <w:b/>
          <w:snapToGrid w:val="0"/>
          <w:szCs w:val="20"/>
        </w:rPr>
        <w:t xml:space="preserve"> ihracat düşüşü yaşanmıştır</w:t>
      </w:r>
      <w:r w:rsidR="001968E8">
        <w:rPr>
          <w:b/>
          <w:snapToGrid w:val="0"/>
          <w:szCs w:val="20"/>
        </w:rPr>
        <w:t>.</w:t>
      </w: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232F36" w:rsidRDefault="00DB3760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Fransa’ya</w:t>
      </w:r>
      <w:r w:rsidR="00B45AF7">
        <w:rPr>
          <w:snapToGrid w:val="0"/>
          <w:szCs w:val="20"/>
        </w:rPr>
        <w:t xml:space="preserve"> yönelik </w:t>
      </w:r>
      <w:r w:rsidR="001968E8">
        <w:rPr>
          <w:snapToGrid w:val="0"/>
          <w:szCs w:val="20"/>
        </w:rPr>
        <w:t xml:space="preserve">yüksek oranlı </w:t>
      </w:r>
      <w:r w:rsidR="00B45AF7">
        <w:rPr>
          <w:snapToGrid w:val="0"/>
          <w:szCs w:val="20"/>
        </w:rPr>
        <w:t>ihracat artışında bu ülkeye yönelik b</w:t>
      </w:r>
      <w:r w:rsidR="00E36F77">
        <w:rPr>
          <w:snapToGrid w:val="0"/>
          <w:szCs w:val="20"/>
        </w:rPr>
        <w:t xml:space="preserve">inek </w:t>
      </w:r>
      <w:r>
        <w:rPr>
          <w:snapToGrid w:val="0"/>
          <w:szCs w:val="20"/>
        </w:rPr>
        <w:t>otomobiller ihracatının</w:t>
      </w:r>
      <w:r w:rsidR="00E36F7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%72, İspanya’ya yönelik artışta yine binek otomobiller ihracatının %48</w:t>
      </w:r>
      <w:r w:rsidR="00D77430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artması etkili olmuştur.</w:t>
      </w:r>
    </w:p>
    <w:p w:rsidR="00DB3760" w:rsidRDefault="00DB3760" w:rsidP="00DB3760">
      <w:pPr>
        <w:pStyle w:val="ListeParagraf"/>
        <w:rPr>
          <w:snapToGrid w:val="0"/>
          <w:szCs w:val="20"/>
        </w:rPr>
      </w:pPr>
    </w:p>
    <w:p w:rsidR="00DB3760" w:rsidRDefault="00DB3760" w:rsidP="00B45AF7">
      <w:pPr>
        <w:numPr>
          <w:ilvl w:val="0"/>
          <w:numId w:val="2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lastRenderedPageBreak/>
        <w:t>Polonya’ya yönelik düşüşte çekiciler ihracatının %94, otobüs minibüs midibüs ihracatının %80 düşmesi, ABD’ye yönelik düşüşte ise binek otomobiller ihracatının %52 gerilemesi etkili olmuştur.</w:t>
      </w:r>
    </w:p>
    <w:p w:rsidR="00B45AF7" w:rsidRPr="00B45AF7" w:rsidRDefault="00B45AF7" w:rsidP="00B45AF7">
      <w:pPr>
        <w:contextualSpacing/>
        <w:jc w:val="both"/>
        <w:rPr>
          <w:snapToGrid w:val="0"/>
          <w:szCs w:val="20"/>
        </w:rPr>
      </w:pPr>
    </w:p>
    <w:p w:rsidR="00C65108" w:rsidRPr="006D4588" w:rsidRDefault="00C65108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A48E5">
        <w:rPr>
          <w:rFonts w:ascii="Arial" w:hAnsi="Arial" w:cs="Arial"/>
          <w:b/>
          <w:snapToGrid w:val="0"/>
          <w:szCs w:val="20"/>
        </w:rPr>
        <w:t>Ocak 2020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001556" w:rsidRPr="00001556" w:rsidTr="00001556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AA48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2019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AA48E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2020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7E0633" w:rsidRPr="00001556" w:rsidTr="00AE1951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33" w:rsidRPr="00001556" w:rsidRDefault="007E0633" w:rsidP="007E063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1.864.879.987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1.892.925.889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3778AC" w:rsidP="007E06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78,8</w:t>
            </w:r>
          </w:p>
        </w:tc>
      </w:tr>
      <w:tr w:rsidR="007E0633" w:rsidRPr="00001556" w:rsidTr="00AA26F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33" w:rsidRPr="00001556" w:rsidRDefault="007E0633" w:rsidP="007E063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112.430.795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132.315.414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3778AC" w:rsidP="007E06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5,5</w:t>
            </w:r>
          </w:p>
        </w:tc>
      </w:tr>
      <w:tr w:rsidR="007E0633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633" w:rsidRPr="00001556" w:rsidRDefault="007E0633" w:rsidP="007E0633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92.612.488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7E0633" w:rsidP="007E0633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92.599.926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3778AC" w:rsidP="007E06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0633" w:rsidRPr="007E0633" w:rsidRDefault="003778AC" w:rsidP="007E063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3,9</w:t>
            </w:r>
          </w:p>
        </w:tc>
      </w:tr>
      <w:tr w:rsidR="003778AC" w:rsidRPr="00001556" w:rsidTr="00012E0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61.552.079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82.015.670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3,4</w:t>
            </w:r>
          </w:p>
        </w:tc>
      </w:tr>
      <w:tr w:rsidR="003778AC" w:rsidRPr="00001556" w:rsidTr="00012E0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89.051.175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78.790.710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-11,5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3,3</w:t>
            </w:r>
          </w:p>
        </w:tc>
      </w:tr>
      <w:tr w:rsidR="003778AC" w:rsidRPr="00001556" w:rsidTr="005C104F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36.138.452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40.457.388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1,7</w:t>
            </w:r>
          </w:p>
        </w:tc>
      </w:tr>
      <w:tr w:rsidR="003778AC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18.465.631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22.628.341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0,9</w:t>
            </w:r>
          </w:p>
        </w:tc>
      </w:tr>
      <w:tr w:rsidR="003778AC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3778AC">
              <w:rPr>
                <w:rFonts w:ascii="Arial" w:hAnsi="Arial" w:cs="Arial"/>
                <w:bCs/>
              </w:rPr>
              <w:t>23.355.092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3778AC">
              <w:rPr>
                <w:rFonts w:ascii="Arial" w:hAnsi="Arial" w:cs="Arial"/>
                <w:bCs/>
              </w:rPr>
              <w:t>21.366.885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-8,5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0,9</w:t>
            </w:r>
          </w:p>
        </w:tc>
      </w:tr>
      <w:tr w:rsidR="003778AC" w:rsidRPr="00001556" w:rsidTr="000F262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13.098.768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15.714.317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0,7</w:t>
            </w:r>
          </w:p>
        </w:tc>
      </w:tr>
      <w:tr w:rsidR="003778AC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3778AC">
              <w:rPr>
                <w:rFonts w:ascii="Arial" w:hAnsi="Arial" w:cs="Arial"/>
                <w:bCs/>
              </w:rPr>
              <w:t>11.204.620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3778AC">
              <w:rPr>
                <w:rFonts w:ascii="Arial" w:hAnsi="Arial" w:cs="Arial"/>
                <w:bCs/>
              </w:rPr>
              <w:t>15.047.997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3778AC">
              <w:rPr>
                <w:rFonts w:ascii="Arial" w:hAnsi="Arial" w:cs="Arial"/>
                <w:bCs/>
              </w:rPr>
              <w:t>0,6</w:t>
            </w:r>
          </w:p>
        </w:tc>
      </w:tr>
      <w:tr w:rsidR="003778AC" w:rsidRPr="00001556" w:rsidTr="005D190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4.579.557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7.836.213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0,3</w:t>
            </w:r>
          </w:p>
        </w:tc>
      </w:tr>
      <w:tr w:rsidR="003778AC" w:rsidRPr="00001556" w:rsidTr="00D215E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212.910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481.220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7E0633" w:rsidRDefault="003778AC" w:rsidP="003778AC">
            <w:pPr>
              <w:jc w:val="center"/>
              <w:rPr>
                <w:rFonts w:ascii="Arial" w:hAnsi="Arial" w:cs="Arial"/>
                <w:bCs/>
              </w:rPr>
            </w:pPr>
            <w:r w:rsidRPr="007E0633">
              <w:rPr>
                <w:rFonts w:ascii="Arial" w:hAnsi="Arial" w:cs="Arial"/>
                <w:bCs/>
              </w:rPr>
              <w:t>0,0</w:t>
            </w:r>
          </w:p>
        </w:tc>
      </w:tr>
      <w:tr w:rsidR="003778AC" w:rsidRPr="00001556" w:rsidTr="00B536A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8AC" w:rsidRPr="00001556" w:rsidRDefault="003778AC" w:rsidP="003778AC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8AC">
              <w:rPr>
                <w:rFonts w:ascii="Arial" w:hAnsi="Arial" w:cs="Arial"/>
                <w:b/>
                <w:bCs/>
              </w:rPr>
              <w:t>2.327.581.555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8AC">
              <w:rPr>
                <w:rFonts w:ascii="Arial" w:hAnsi="Arial" w:cs="Arial"/>
                <w:b/>
                <w:bCs/>
              </w:rPr>
              <w:t>2.402.179.971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8AC" w:rsidRPr="003778AC" w:rsidRDefault="003778AC" w:rsidP="003778AC">
            <w:pPr>
              <w:jc w:val="center"/>
              <w:rPr>
                <w:rFonts w:ascii="Arial" w:hAnsi="Arial" w:cs="Arial"/>
                <w:b/>
                <w:bCs/>
              </w:rPr>
            </w:pPr>
            <w:r w:rsidRPr="003778A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C14BC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</w:t>
      </w:r>
      <w:r w:rsidR="003778AC">
        <w:rPr>
          <w:b/>
          <w:snapToGrid w:val="0"/>
          <w:szCs w:val="20"/>
        </w:rPr>
        <w:t>2020</w:t>
      </w:r>
      <w:r w:rsidR="008809DD">
        <w:rPr>
          <w:b/>
          <w:snapToGrid w:val="0"/>
          <w:szCs w:val="20"/>
        </w:rPr>
        <w:t>’d</w:t>
      </w:r>
      <w:r w:rsidR="003778AC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3778AC">
        <w:rPr>
          <w:b/>
          <w:snapToGrid w:val="0"/>
          <w:szCs w:val="20"/>
        </w:rPr>
        <w:t>79</w:t>
      </w:r>
      <w:r w:rsidR="000742F9" w:rsidRPr="00E615FC">
        <w:rPr>
          <w:b/>
          <w:snapToGrid w:val="0"/>
          <w:szCs w:val="20"/>
        </w:rPr>
        <w:t xml:space="preserve"> 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B5646A">
        <w:rPr>
          <w:b/>
          <w:snapToGrid w:val="0"/>
          <w:szCs w:val="20"/>
        </w:rPr>
        <w:t>8</w:t>
      </w:r>
      <w:r w:rsidR="003778AC">
        <w:rPr>
          <w:b/>
          <w:snapToGrid w:val="0"/>
          <w:szCs w:val="20"/>
        </w:rPr>
        <w:t xml:space="preserve">93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3778AC">
        <w:rPr>
          <w:b/>
          <w:snapToGrid w:val="0"/>
          <w:szCs w:val="20"/>
        </w:rPr>
        <w:t>1,5</w:t>
      </w:r>
      <w:r w:rsidR="00605F5E">
        <w:rPr>
          <w:b/>
          <w:snapToGrid w:val="0"/>
          <w:szCs w:val="20"/>
        </w:rPr>
        <w:t xml:space="preserve"> </w:t>
      </w:r>
      <w:r w:rsidR="00DA0743">
        <w:rPr>
          <w:b/>
          <w:snapToGrid w:val="0"/>
          <w:szCs w:val="20"/>
        </w:rPr>
        <w:t>artmıştır.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A27C39" w:rsidRPr="0095250E" w:rsidRDefault="00001556" w:rsidP="00636052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2019 yılın ilk ayında </w:t>
      </w:r>
      <w:r w:rsidR="003778AC">
        <w:rPr>
          <w:b/>
          <w:snapToGrid w:val="0"/>
          <w:szCs w:val="20"/>
        </w:rPr>
        <w:t>Afrika Ülkelerine</w:t>
      </w:r>
      <w:r>
        <w:rPr>
          <w:b/>
          <w:snapToGrid w:val="0"/>
          <w:szCs w:val="20"/>
        </w:rPr>
        <w:t xml:space="preserve"> </w:t>
      </w:r>
      <w:r w:rsidR="003778AC">
        <w:rPr>
          <w:b/>
          <w:snapToGrid w:val="0"/>
          <w:szCs w:val="20"/>
        </w:rPr>
        <w:t xml:space="preserve">%18, </w:t>
      </w:r>
      <w:r w:rsidR="00C66332" w:rsidRPr="00C66332">
        <w:rPr>
          <w:b/>
          <w:bCs/>
          <w:snapToGrid w:val="0"/>
          <w:szCs w:val="20"/>
        </w:rPr>
        <w:t>Bağımsız Devletler Topluluğu</w:t>
      </w:r>
      <w:r w:rsidR="003778AC">
        <w:rPr>
          <w:b/>
          <w:snapToGrid w:val="0"/>
          <w:szCs w:val="20"/>
        </w:rPr>
        <w:t>’na %33</w:t>
      </w:r>
      <w:r w:rsidR="00C66332">
        <w:rPr>
          <w:b/>
          <w:snapToGrid w:val="0"/>
          <w:szCs w:val="20"/>
        </w:rPr>
        <w:t xml:space="preserve"> oranında </w:t>
      </w:r>
      <w:r w:rsidR="003778AC">
        <w:rPr>
          <w:b/>
          <w:snapToGrid w:val="0"/>
          <w:szCs w:val="20"/>
        </w:rPr>
        <w:t xml:space="preserve">ihracat artışı, </w:t>
      </w:r>
      <w:r w:rsidR="003778AC" w:rsidRPr="003778AC">
        <w:rPr>
          <w:b/>
          <w:bCs/>
          <w:snapToGrid w:val="0"/>
          <w:szCs w:val="20"/>
        </w:rPr>
        <w:t>Kuzey Amerika Serbest Ticaret</w:t>
      </w:r>
      <w:r w:rsidR="003778AC">
        <w:rPr>
          <w:b/>
          <w:bCs/>
          <w:snapToGrid w:val="0"/>
          <w:szCs w:val="20"/>
        </w:rPr>
        <w:t xml:space="preserve"> Bölgesine %12 ihracat düşüşü görülmüştür.</w:t>
      </w: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FC" w:rsidRDefault="000B69FC">
      <w:r>
        <w:separator/>
      </w:r>
    </w:p>
  </w:endnote>
  <w:endnote w:type="continuationSeparator" w:id="0">
    <w:p w:rsidR="000B69FC" w:rsidRDefault="000B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09" w:rsidRDefault="00697809" w:rsidP="002F7408">
    <w:pPr>
      <w:pStyle w:val="Altbilgi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1905</wp:posOffset>
          </wp:positionV>
          <wp:extent cx="7723505" cy="1933575"/>
          <wp:effectExtent l="19050" t="0" r="0" b="0"/>
          <wp:wrapNone/>
          <wp:docPr id="7" name="Resim 7" descr="otomativ_belge_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tomativ_belge_al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505" cy="193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Pr="002F7408" w:rsidRDefault="00697809" w:rsidP="002F74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FC" w:rsidRDefault="000B69FC">
      <w:r>
        <w:separator/>
      </w:r>
    </w:p>
  </w:footnote>
  <w:footnote w:type="continuationSeparator" w:id="0">
    <w:p w:rsidR="000B69FC" w:rsidRDefault="000B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97809" w:rsidTr="006D78E5">
      <w:tc>
        <w:tcPr>
          <w:tcW w:w="1800" w:type="pct"/>
        </w:tcPr>
        <w:p w:rsidR="00697809" w:rsidRPr="00520962" w:rsidRDefault="0069780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97809" w:rsidRDefault="00697809" w:rsidP="006D78E5">
          <w:pPr>
            <w:pStyle w:val="stbilgi"/>
            <w:jc w:val="center"/>
          </w:pPr>
        </w:p>
      </w:tc>
      <w:tc>
        <w:tcPr>
          <w:tcW w:w="1457" w:type="pct"/>
        </w:tcPr>
        <w:p w:rsidR="00697809" w:rsidRDefault="00697809" w:rsidP="008018EA">
          <w:pPr>
            <w:pStyle w:val="stbilgi"/>
            <w:jc w:val="right"/>
          </w:pPr>
        </w:p>
      </w:tc>
    </w:tr>
  </w:tbl>
  <w:p w:rsidR="00697809" w:rsidRDefault="00697809" w:rsidP="00BC6D24"/>
  <w:p w:rsidR="00697809" w:rsidRDefault="006978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5941"/>
    <w:rsid w:val="00006914"/>
    <w:rsid w:val="0001011D"/>
    <w:rsid w:val="0001570B"/>
    <w:rsid w:val="00021A06"/>
    <w:rsid w:val="00023542"/>
    <w:rsid w:val="00025110"/>
    <w:rsid w:val="00025472"/>
    <w:rsid w:val="00030690"/>
    <w:rsid w:val="0003249D"/>
    <w:rsid w:val="00032BD8"/>
    <w:rsid w:val="00035C7A"/>
    <w:rsid w:val="00037E55"/>
    <w:rsid w:val="00043730"/>
    <w:rsid w:val="0006257E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AA3"/>
    <w:rsid w:val="00097C0D"/>
    <w:rsid w:val="00097E04"/>
    <w:rsid w:val="00097E3E"/>
    <w:rsid w:val="000A0BD3"/>
    <w:rsid w:val="000A2A7F"/>
    <w:rsid w:val="000A4EBF"/>
    <w:rsid w:val="000B10B3"/>
    <w:rsid w:val="000B2A17"/>
    <w:rsid w:val="000B69FC"/>
    <w:rsid w:val="000C1B88"/>
    <w:rsid w:val="000C289C"/>
    <w:rsid w:val="000C44EE"/>
    <w:rsid w:val="000D407F"/>
    <w:rsid w:val="000E5320"/>
    <w:rsid w:val="000E7A06"/>
    <w:rsid w:val="000F0F14"/>
    <w:rsid w:val="000F1064"/>
    <w:rsid w:val="000F1DA3"/>
    <w:rsid w:val="000F5FE4"/>
    <w:rsid w:val="000F645A"/>
    <w:rsid w:val="00110497"/>
    <w:rsid w:val="00112E70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EA3"/>
    <w:rsid w:val="0015434F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100B"/>
    <w:rsid w:val="001A28CC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1F45A5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5631"/>
    <w:rsid w:val="00281D82"/>
    <w:rsid w:val="002829D4"/>
    <w:rsid w:val="00284A1F"/>
    <w:rsid w:val="00284D6D"/>
    <w:rsid w:val="00290D00"/>
    <w:rsid w:val="002944E6"/>
    <w:rsid w:val="002A051A"/>
    <w:rsid w:val="002A0A7D"/>
    <w:rsid w:val="002A3345"/>
    <w:rsid w:val="002B4205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11BF5"/>
    <w:rsid w:val="00312A8A"/>
    <w:rsid w:val="00323607"/>
    <w:rsid w:val="00326301"/>
    <w:rsid w:val="003357B7"/>
    <w:rsid w:val="00336B0C"/>
    <w:rsid w:val="0034414F"/>
    <w:rsid w:val="00344A5B"/>
    <w:rsid w:val="00345A89"/>
    <w:rsid w:val="00347AA8"/>
    <w:rsid w:val="00360F98"/>
    <w:rsid w:val="00364D21"/>
    <w:rsid w:val="00365F84"/>
    <w:rsid w:val="00372034"/>
    <w:rsid w:val="003778AC"/>
    <w:rsid w:val="00381D7F"/>
    <w:rsid w:val="0038224B"/>
    <w:rsid w:val="00385362"/>
    <w:rsid w:val="00385C6C"/>
    <w:rsid w:val="00392CC4"/>
    <w:rsid w:val="00395094"/>
    <w:rsid w:val="00397167"/>
    <w:rsid w:val="003A3D04"/>
    <w:rsid w:val="003B1591"/>
    <w:rsid w:val="003B26D5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07579"/>
    <w:rsid w:val="00412A43"/>
    <w:rsid w:val="004219E2"/>
    <w:rsid w:val="00423352"/>
    <w:rsid w:val="00423D1A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562E"/>
    <w:rsid w:val="00486B52"/>
    <w:rsid w:val="00492AB4"/>
    <w:rsid w:val="0049504D"/>
    <w:rsid w:val="004A1254"/>
    <w:rsid w:val="004B0003"/>
    <w:rsid w:val="004C28A3"/>
    <w:rsid w:val="004C3C0E"/>
    <w:rsid w:val="004C4A39"/>
    <w:rsid w:val="004C5530"/>
    <w:rsid w:val="004D19A0"/>
    <w:rsid w:val="004D38C3"/>
    <w:rsid w:val="004D45AD"/>
    <w:rsid w:val="004D5E1B"/>
    <w:rsid w:val="004E1F5A"/>
    <w:rsid w:val="004E3E7B"/>
    <w:rsid w:val="004E6B24"/>
    <w:rsid w:val="004F4D31"/>
    <w:rsid w:val="004F58DC"/>
    <w:rsid w:val="004F5957"/>
    <w:rsid w:val="004F5CB4"/>
    <w:rsid w:val="0050025C"/>
    <w:rsid w:val="005026D0"/>
    <w:rsid w:val="00503E6B"/>
    <w:rsid w:val="00511D69"/>
    <w:rsid w:val="005148DC"/>
    <w:rsid w:val="00523701"/>
    <w:rsid w:val="0052375E"/>
    <w:rsid w:val="00523AC7"/>
    <w:rsid w:val="0053052A"/>
    <w:rsid w:val="00530BA8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771"/>
    <w:rsid w:val="006210D6"/>
    <w:rsid w:val="00636052"/>
    <w:rsid w:val="006364CB"/>
    <w:rsid w:val="00636B49"/>
    <w:rsid w:val="006433BC"/>
    <w:rsid w:val="0064473D"/>
    <w:rsid w:val="00645DEF"/>
    <w:rsid w:val="00650E17"/>
    <w:rsid w:val="006568A7"/>
    <w:rsid w:val="006568C3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3503"/>
    <w:rsid w:val="006E3786"/>
    <w:rsid w:val="006E5BEC"/>
    <w:rsid w:val="006F0A13"/>
    <w:rsid w:val="006F17D0"/>
    <w:rsid w:val="006F186F"/>
    <w:rsid w:val="006F48F3"/>
    <w:rsid w:val="007020CB"/>
    <w:rsid w:val="00704AA4"/>
    <w:rsid w:val="007077D6"/>
    <w:rsid w:val="00714C2F"/>
    <w:rsid w:val="007159D6"/>
    <w:rsid w:val="007177AF"/>
    <w:rsid w:val="007222B9"/>
    <w:rsid w:val="00724B8F"/>
    <w:rsid w:val="0072541B"/>
    <w:rsid w:val="007401B4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70F33"/>
    <w:rsid w:val="00772B70"/>
    <w:rsid w:val="00777C94"/>
    <w:rsid w:val="00787E6A"/>
    <w:rsid w:val="00787ECD"/>
    <w:rsid w:val="00790EF7"/>
    <w:rsid w:val="007971A3"/>
    <w:rsid w:val="007A625E"/>
    <w:rsid w:val="007C384E"/>
    <w:rsid w:val="007C627B"/>
    <w:rsid w:val="007C6C61"/>
    <w:rsid w:val="007D0211"/>
    <w:rsid w:val="007D20DC"/>
    <w:rsid w:val="007D233D"/>
    <w:rsid w:val="007D5502"/>
    <w:rsid w:val="007D5C52"/>
    <w:rsid w:val="007D691B"/>
    <w:rsid w:val="007E0633"/>
    <w:rsid w:val="007F049B"/>
    <w:rsid w:val="007F2DC1"/>
    <w:rsid w:val="007F3116"/>
    <w:rsid w:val="007F7584"/>
    <w:rsid w:val="0080181E"/>
    <w:rsid w:val="008018EA"/>
    <w:rsid w:val="00804BF7"/>
    <w:rsid w:val="00804E6B"/>
    <w:rsid w:val="00805812"/>
    <w:rsid w:val="00811297"/>
    <w:rsid w:val="0081318B"/>
    <w:rsid w:val="00816FDD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75D5"/>
    <w:rsid w:val="008809DD"/>
    <w:rsid w:val="00882E5E"/>
    <w:rsid w:val="008845FF"/>
    <w:rsid w:val="008860D1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6361"/>
    <w:rsid w:val="008E216C"/>
    <w:rsid w:val="008E467B"/>
    <w:rsid w:val="008F3B92"/>
    <w:rsid w:val="008F56A0"/>
    <w:rsid w:val="00910083"/>
    <w:rsid w:val="0091082C"/>
    <w:rsid w:val="009122B4"/>
    <w:rsid w:val="009146B5"/>
    <w:rsid w:val="00917A7B"/>
    <w:rsid w:val="00933B24"/>
    <w:rsid w:val="00933EC4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7147"/>
    <w:rsid w:val="0099720B"/>
    <w:rsid w:val="009A378A"/>
    <w:rsid w:val="009A3ADF"/>
    <w:rsid w:val="009A68A4"/>
    <w:rsid w:val="009A6ACB"/>
    <w:rsid w:val="009B36A2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782D"/>
    <w:rsid w:val="009D7F9C"/>
    <w:rsid w:val="009E07AB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7530"/>
    <w:rsid w:val="00AA3127"/>
    <w:rsid w:val="00AA48E5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28B2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A88"/>
    <w:rsid w:val="00B45AF7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242A"/>
    <w:rsid w:val="00C65108"/>
    <w:rsid w:val="00C6550E"/>
    <w:rsid w:val="00C6633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790"/>
    <w:rsid w:val="00CF625E"/>
    <w:rsid w:val="00CF6AED"/>
    <w:rsid w:val="00CF79E1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2580"/>
    <w:rsid w:val="00D62EC5"/>
    <w:rsid w:val="00D65D33"/>
    <w:rsid w:val="00D70235"/>
    <w:rsid w:val="00D720B8"/>
    <w:rsid w:val="00D72BEC"/>
    <w:rsid w:val="00D77430"/>
    <w:rsid w:val="00D7770F"/>
    <w:rsid w:val="00D83CB5"/>
    <w:rsid w:val="00D8599C"/>
    <w:rsid w:val="00D86883"/>
    <w:rsid w:val="00D87534"/>
    <w:rsid w:val="00D90439"/>
    <w:rsid w:val="00D907B7"/>
    <w:rsid w:val="00D92710"/>
    <w:rsid w:val="00D93DC1"/>
    <w:rsid w:val="00D951DA"/>
    <w:rsid w:val="00DA0743"/>
    <w:rsid w:val="00DA4C36"/>
    <w:rsid w:val="00DB0954"/>
    <w:rsid w:val="00DB3760"/>
    <w:rsid w:val="00DB7CAB"/>
    <w:rsid w:val="00DC1E06"/>
    <w:rsid w:val="00DC2C93"/>
    <w:rsid w:val="00DC4404"/>
    <w:rsid w:val="00DC539A"/>
    <w:rsid w:val="00DC6C9F"/>
    <w:rsid w:val="00DC722A"/>
    <w:rsid w:val="00DD1F96"/>
    <w:rsid w:val="00DD2999"/>
    <w:rsid w:val="00DE6E52"/>
    <w:rsid w:val="00DE79F4"/>
    <w:rsid w:val="00DF0D78"/>
    <w:rsid w:val="00DF2FBB"/>
    <w:rsid w:val="00E072F2"/>
    <w:rsid w:val="00E11BB3"/>
    <w:rsid w:val="00E12715"/>
    <w:rsid w:val="00E147BF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60B8"/>
    <w:rsid w:val="00E82053"/>
    <w:rsid w:val="00E823E0"/>
    <w:rsid w:val="00E879D8"/>
    <w:rsid w:val="00E87B4E"/>
    <w:rsid w:val="00E90A36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5F36"/>
    <w:rsid w:val="00EE67DD"/>
    <w:rsid w:val="00EE7A2C"/>
    <w:rsid w:val="00EF38F7"/>
    <w:rsid w:val="00F059AA"/>
    <w:rsid w:val="00F12DED"/>
    <w:rsid w:val="00F13C13"/>
    <w:rsid w:val="00F13F02"/>
    <w:rsid w:val="00F20AC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5CB8"/>
    <w:rsid w:val="00F6708B"/>
    <w:rsid w:val="00F6749A"/>
    <w:rsid w:val="00F76303"/>
    <w:rsid w:val="00F81027"/>
    <w:rsid w:val="00F81063"/>
    <w:rsid w:val="00F92710"/>
    <w:rsid w:val="00F92B45"/>
    <w:rsid w:val="00F96417"/>
    <w:rsid w:val="00FA0FAD"/>
    <w:rsid w:val="00FA504D"/>
    <w:rsid w:val="00FA691A"/>
    <w:rsid w:val="00FA72C2"/>
    <w:rsid w:val="00FB20B0"/>
    <w:rsid w:val="00FB25A3"/>
    <w:rsid w:val="00FB78D1"/>
    <w:rsid w:val="00FC0B5D"/>
    <w:rsid w:val="00FC32E2"/>
    <w:rsid w:val="00FC33E0"/>
    <w:rsid w:val="00FC35A0"/>
    <w:rsid w:val="00FD3D26"/>
    <w:rsid w:val="00FD5C2F"/>
    <w:rsid w:val="00FD64E1"/>
    <w:rsid w:val="00FE666C"/>
    <w:rsid w:val="00FF09D0"/>
    <w:rsid w:val="00FF4C9B"/>
    <w:rsid w:val="00FF5B8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A00CD8-9004-4827-96DB-5EC9CA53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8B85E-B803-48AD-82B0-C9F535C8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Ilyas Dokuzoglu</cp:lastModifiedBy>
  <cp:revision>5</cp:revision>
  <cp:lastPrinted>2010-02-19T08:22:00Z</cp:lastPrinted>
  <dcterms:created xsi:type="dcterms:W3CDTF">2020-02-03T11:11:00Z</dcterms:created>
  <dcterms:modified xsi:type="dcterms:W3CDTF">2020-02-03T12:12:00Z</dcterms:modified>
</cp:coreProperties>
</file>